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458AC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kern w:val="20"/>
          <w:sz w:val="44"/>
          <w:szCs w:val="44"/>
          <w:lang w:val="en-US" w:eastAsia="zh-CN" w:bidi="ar-SA"/>
        </w:rPr>
      </w:pPr>
    </w:p>
    <w:p w14:paraId="1CDDD794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kern w:val="2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20"/>
          <w:sz w:val="44"/>
          <w:szCs w:val="44"/>
          <w:lang w:val="en-US" w:eastAsia="zh-CN" w:bidi="ar-SA"/>
        </w:rPr>
        <w:t>河北省体育产业基地管理办法</w:t>
      </w:r>
    </w:p>
    <w:p w14:paraId="2055BB44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spacing w:val="-20"/>
          <w:kern w:val="2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20"/>
          <w:kern w:val="20"/>
          <w:sz w:val="32"/>
          <w:szCs w:val="32"/>
          <w:lang w:val="en-US" w:eastAsia="zh-CN" w:bidi="ar-SA"/>
        </w:rPr>
        <w:t>（修订征求意见稿）</w:t>
      </w:r>
    </w:p>
    <w:p w14:paraId="40F854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总则</w:t>
      </w:r>
      <w:bookmarkStart w:id="0" w:name="_GoBack"/>
      <w:bookmarkEnd w:id="0"/>
    </w:p>
    <w:p w14:paraId="30AF7E5A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color w:val="000000"/>
          <w:kern w:val="2"/>
          <w:sz w:val="32"/>
          <w:lang w:bidi="ar-SA"/>
        </w:rPr>
        <w:t>为贯彻落实《中华人民共和国体育法》，进一步加强对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体育产业基地（以下简称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“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体育产业基地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”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）的管理，推动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体育产业基地规范、健康、高质量发展，发挥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河北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体育产业基地的聚集效应、规模效应、区域辐射效应以及对全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省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体育产业发展的引领示范作用，助力体育强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省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结合工作实际，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制定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本办法。</w:t>
      </w:r>
    </w:p>
    <w:p w14:paraId="13B0A07F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本办法所称的体育产业基地是指：经河北省体育局命名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或认定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的，在体育产业发展方面具备相当基础、规模和特色的地区，在体育产业重点领域具有较大影响力和较强竞争力的单位或机构，以及在体育产业特定领域成绩显著、具备较好经济和社会效益的活动或项目的总称。 </w:t>
      </w:r>
    </w:p>
    <w:p w14:paraId="30D31701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河北省体育产业基地包括三种类型：一是以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重视体育产业发展的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地区（县或县域集群、不设区的市、市辖区）为单位，命名为“（地区名称）河北省体育产业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基地”（以下简称“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基地”）；二是以体育产业重点领域的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优秀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企业或组织机构为单位，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认定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为“河北省体育产业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优秀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单位”（以下简称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“优秀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）；三是以持续运营的优秀体育产业活动或项目为单位，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认定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为“河北省体育产业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精品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项目”（以下简称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“精品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）。</w:t>
      </w:r>
    </w:p>
    <w:p w14:paraId="7B761812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河北省体育产业基地的命名、认定坚持统筹兼顾、合理布局，因地制宜、突出特色，严格准入、优中选优，动态管理、有进有出的原则。</w:t>
      </w:r>
    </w:p>
    <w:p w14:paraId="273BC3AA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河北省体育局负责省级体育产业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基地的评选、命名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认定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和监管工作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。各市体育主管部门负责市级体育产业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基地评选、命名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认定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和监管工作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，同时负责河北省体育产业基地的申报、初审和推荐工作，并协助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省体育局对其进行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日常监管和指导支持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BBFFE33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河北省体育局对认定的河北省体育产业基地予以授牌，并结合实际，在体育产业政策、扶持资金、招商引资、新闻宣传、信息服务和市场开拓方面给予重点支持。</w:t>
      </w:r>
    </w:p>
    <w:p w14:paraId="0FABBA0A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河北省体育产业基地的评定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有效期为5年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，到期后自动撤销，如有意愿延期须按程序重新申报。</w:t>
      </w:r>
    </w:p>
    <w:p w14:paraId="4EC3C0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申报</w:t>
      </w:r>
    </w:p>
    <w:p w14:paraId="06990069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申报“河北省体育产业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基地”应符合以下基本条件：</w:t>
      </w:r>
    </w:p>
    <w:p w14:paraId="04B80998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color w:val="000000"/>
          <w:kern w:val="2"/>
          <w:sz w:val="32"/>
          <w:lang w:bidi="ar-SA"/>
        </w:rPr>
        <w:t>（一）当地政府高度重视体育产业发展，建立了多部门组成的体育产业发展工作协调机制，将体育产业纳入政府工作报告、国民经济发展规划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；</w:t>
      </w:r>
    </w:p>
    <w:p w14:paraId="32AEA883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color w:val="000000"/>
          <w:kern w:val="2"/>
          <w:sz w:val="32"/>
          <w:lang w:bidi="ar-SA"/>
        </w:rPr>
        <w:t>（二）该地区体育资源丰富，具备较好的体育基础设施和体育服务能力，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制定了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支持体育产业发展的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相关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政策，具备孵化培育体育龙头企业、“专精特新”企业、体育科技企业的条件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；</w:t>
      </w:r>
    </w:p>
    <w:p w14:paraId="509634BA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color w:val="000000"/>
          <w:kern w:val="2"/>
          <w:sz w:val="32"/>
          <w:lang w:bidi="ar-SA"/>
        </w:rPr>
        <w:t>（三）该地区体育产业集聚效应好，体育市场主体数量多，发展潜力大，体育产业总规模或体育产业增加值占GDP比重居全省前列，辐射带动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经济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发展的作用较好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；</w:t>
      </w:r>
    </w:p>
    <w:p w14:paraId="1479CA0D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color w:val="000000"/>
          <w:kern w:val="2"/>
          <w:sz w:val="32"/>
          <w:lang w:bidi="ar-SA"/>
        </w:rPr>
        <w:t>（四）当地政府制定了体育产业发展专项规划，产业基地建设思路清晰，发展目标明确，主要任务、举措切实可行，发展前景良好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；</w:t>
      </w:r>
    </w:p>
    <w:p w14:paraId="095189DC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color w:val="000000"/>
          <w:kern w:val="2"/>
          <w:sz w:val="32"/>
          <w:lang w:bidi="ar-SA"/>
        </w:rPr>
        <w:t>（五）近三年当地体育领域未发生重大安全责任事故。</w:t>
      </w:r>
    </w:p>
    <w:p w14:paraId="1CDD3837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申报“河北省体育产业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优秀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单位”应符合以下基本条件：</w:t>
      </w:r>
    </w:p>
    <w:p w14:paraId="09B455C6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（一）在体育产业的重点领域成效显著，特色鲜明，优势突出，在本领域内的业绩及经验具有示范意义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6C6C4AC1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（二）持续安全经营3年以上，社会效益和经济效益显著，符合体育产业发展方向和政策规定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7E68C8BF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有一支坚强有力的管理团队和行之有效的内部管理制度，具有较强的自主创新能力和市场开拓能力，并保持较快的发展速度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7CD13876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（四）有清晰的发展思路，规划切实可行，中长期发展目标明确；</w:t>
      </w:r>
    </w:p>
    <w:p w14:paraId="707BA4B2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在河北省境内注册登记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，具有独立法人资格。</w:t>
      </w:r>
    </w:p>
    <w:p w14:paraId="6841120E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申报“河北省体育产业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精品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项目”应符合以下基本条件：</w:t>
      </w:r>
    </w:p>
    <w:p w14:paraId="38BB79B4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color w:val="000000"/>
          <w:kern w:val="2"/>
          <w:sz w:val="32"/>
          <w:lang w:bidi="ar-SA"/>
        </w:rPr>
        <w:t>（一）项目影响范围广、参与者众多，特色鲜明，优势突出，在体育产业特定领域具有示范意义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；</w:t>
      </w:r>
    </w:p>
    <w:p w14:paraId="397D8710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/>
          <w:color w:val="000000"/>
          <w:kern w:val="2"/>
          <w:sz w:val="32"/>
          <w:lang w:eastAsia="zh-CN" w:bidi="ar-SA"/>
        </w:rPr>
      </w:pPr>
      <w:r>
        <w:rPr>
          <w:rFonts w:hint="eastAsia" w:ascii="仿宋_GB2312" w:hAnsi="仿宋_GB2312"/>
          <w:color w:val="000000"/>
          <w:kern w:val="2"/>
          <w:sz w:val="32"/>
          <w:lang w:bidi="ar-SA"/>
        </w:rPr>
        <w:t>（二）项目持续安全运营3年以上（或活动每年至少举办1届，且连续举办3年以上），社会效益和经济效益显著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；</w:t>
      </w:r>
    </w:p>
    <w:p w14:paraId="544F3329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color w:val="000000"/>
          <w:kern w:val="2"/>
          <w:sz w:val="32"/>
          <w:lang w:bidi="ar-SA"/>
        </w:rPr>
        <w:t>（三）项目运营及管理制度健全，发展趋势良好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；</w:t>
      </w:r>
    </w:p>
    <w:p w14:paraId="73179E50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color w:val="000000"/>
          <w:kern w:val="2"/>
          <w:sz w:val="32"/>
          <w:lang w:bidi="ar-SA"/>
        </w:rPr>
        <w:t>（四）由在河北省境内注册登记、具有独立法人资格的机构运营管理</w:t>
      </w:r>
      <w:r>
        <w:rPr>
          <w:rFonts w:hint="eastAsia" w:ascii="仿宋_GB2312" w:hAnsi="仿宋_GB2312"/>
          <w:color w:val="000000"/>
          <w:kern w:val="2"/>
          <w:sz w:val="32"/>
          <w:lang w:eastAsia="zh-CN" w:bidi="ar-SA"/>
        </w:rPr>
        <w:t>。</w:t>
      </w:r>
    </w:p>
    <w:p w14:paraId="799E0710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申报单位需提交以下材料</w:t>
      </w:r>
    </w:p>
    <w:p w14:paraId="044BF51B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（一）申报“河北省体育产业特色基地”需提交以下材料（一式3份）：</w:t>
      </w:r>
    </w:p>
    <w:p w14:paraId="479F5B14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1.“河北省体育产业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基地”申报表；</w:t>
      </w:r>
    </w:p>
    <w:p w14:paraId="34A611E2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该地区体育产业发展的基本情况，包括体育产业总规模、体育市场主体数量、体育从业人员数量、体育产业增加值占GDP比重、体育产业增长率、骨干体育企业（组织）发展情况、体育辐射带动效应等情况的文字说明材料、佐证材料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53820D20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3.当地政府或体育主管部门制定的体育产业发展规划文本。体育产业发展规划应明确当地体育产业的发展基础、面临形势、总体思路、发展目标、重点任务与保障措施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0EC16767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4.当地政府或相关部门制定的支持体育产业发展的相关政策、措施及佐证材料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2BC35303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/>
          <w:color w:val="000000"/>
          <w:kern w:val="2"/>
          <w:sz w:val="32"/>
          <w:lang w:bidi="ar-SA"/>
        </w:rPr>
        <w:t>本地区体育产业安全管理和风险防控制度；</w:t>
      </w:r>
    </w:p>
    <w:p w14:paraId="1B765F95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省辖市、直管县（市）体育主管部门审核意见；</w:t>
      </w:r>
    </w:p>
    <w:p w14:paraId="3193DDF9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.县（市、区）政府的推荐函。</w:t>
      </w:r>
    </w:p>
    <w:p w14:paraId="66F3C832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（二）申报“河北省体育产业优秀单位”需提交以下材料（一式3份）：</w:t>
      </w:r>
    </w:p>
    <w:p w14:paraId="4F3129B2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1.“河北省体育产业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优秀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单位”申报表；</w:t>
      </w:r>
    </w:p>
    <w:p w14:paraId="1B759E2A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2.单位基本情况介绍；</w:t>
      </w:r>
    </w:p>
    <w:p w14:paraId="4F18F15B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3.单位的生产经营情况和经济效益情况；</w:t>
      </w:r>
    </w:p>
    <w:p w14:paraId="649E803A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4.所取得的社会效益评价材料；</w:t>
      </w:r>
    </w:p>
    <w:p w14:paraId="7AC3009B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5.营业执照或法人证书复印件；</w:t>
      </w:r>
    </w:p>
    <w:p w14:paraId="2FB723BE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6.单位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领域的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发展规划和发展战略；</w:t>
      </w:r>
    </w:p>
    <w:p w14:paraId="5D09476E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7.会计师事务所出具的最近1年的企业年度审计报告；</w:t>
      </w:r>
    </w:p>
    <w:p w14:paraId="6E6FE444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安全管理制度和风险防控制度；</w:t>
      </w:r>
    </w:p>
    <w:p w14:paraId="0DC35A0B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省辖市、直管县（市）体育主管部门审核意见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875320D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（三）申报“河北省体育产业精品项目”需提交以下材料（一式3份）：</w:t>
      </w:r>
    </w:p>
    <w:p w14:paraId="13A1D37D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1.“河北省体育产业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精品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项目”申报表；</w:t>
      </w:r>
    </w:p>
    <w:p w14:paraId="367170AD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2.项目基本情况介绍；</w:t>
      </w:r>
    </w:p>
    <w:p w14:paraId="364D5890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3.项目的社会效益和经济效益情况；</w:t>
      </w:r>
    </w:p>
    <w:p w14:paraId="3E4CDBFE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项目运营机构的资质信用、项目运营状况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45E062F0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5.项目的发展战略和发展规划；</w:t>
      </w:r>
    </w:p>
    <w:p w14:paraId="445DAC9F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安全管理和风险防控制度；</w:t>
      </w:r>
    </w:p>
    <w:p w14:paraId="2EDE65A5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省辖市、直管县（市）体育主管部门审核意见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C68828F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河北省体育产业基地的申报程序如下：</w:t>
      </w:r>
    </w:p>
    <w:p w14:paraId="42CD2603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lang w:bidi="ar-SA"/>
        </w:rPr>
        <w:t>（一）启动申报。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河北省体育局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每年印发通知，启动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体育产业基地的申报工作。</w:t>
      </w:r>
    </w:p>
    <w:p w14:paraId="71A7045A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lang w:bidi="ar-SA"/>
        </w:rPr>
        <w:t>（二）组织申报。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市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级体育行政部门按照通知要求，组织本区域内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体育产业基地的申报工作。拟申报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val="en-US" w:eastAsia="zh-CN" w:bidi="ar-SA"/>
        </w:rPr>
        <w:t>特色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基地的所在地人民政府、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val="en-US" w:eastAsia="zh-CN" w:bidi="ar-SA"/>
        </w:rPr>
        <w:t>优秀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单位的申请单位、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val="en-US" w:eastAsia="zh-CN" w:bidi="ar-SA"/>
        </w:rPr>
        <w:t>精品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项目的项目运营机构（或主办方、所有权方）按要求向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市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级体育行政部门提交申报材料，并对申报材料的真实性、完整性负责。</w:t>
      </w:r>
    </w:p>
    <w:p w14:paraId="7085CECC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lang w:bidi="ar-SA"/>
        </w:rPr>
        <w:t>（三）审核报送。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市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级体育行政部门对申报材料的真实性、规范性、完整性组织审核，对经审核认定符合申报条件的，出具审核意见（包括合法性审查、安全生产隐患审查等），随同申报材料一并推荐报送。</w:t>
      </w:r>
    </w:p>
    <w:p w14:paraId="63CF7AAD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申报材料必须真实，弄虚作假者将被取消申报资格。</w:t>
      </w:r>
    </w:p>
    <w:p w14:paraId="7394CB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评审与命名认定</w:t>
      </w:r>
    </w:p>
    <w:p w14:paraId="1568A05E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河北省体育局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负责制定评审方案和评分细则，坚持公平、公正、公开和突出特色、兼顾均衡、优化结构布局、合理配置资源的原则，依照透明、规范、严谨的程序组织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体育产业基地的评审工作。</w:t>
      </w:r>
    </w:p>
    <w:p w14:paraId="5C566942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省体育局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财务产业中心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负责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评审的组织实施工作，组建评审工作组和专家评审组，评审程序如下：</w:t>
      </w:r>
    </w:p>
    <w:p w14:paraId="4D586626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lang w:bidi="ar-SA"/>
        </w:rPr>
        <w:t>（一）形式审查。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专家评审组对申报材料进行审查，将不符合申报条件、缺失申报材料、申报主体存在不良信用记录的予以淘汰。</w:t>
      </w:r>
    </w:p>
    <w:p w14:paraId="45748B78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lang w:bidi="ar-SA"/>
        </w:rPr>
        <w:t>（二）书面评审。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专家评审组依据申报条件，按照评分细则，从经济效益、社会效益、发展规划、示范效应等维度对通过形式审查的申报材料进行评审打分，提出建议入围名单。</w:t>
      </w:r>
    </w:p>
    <w:p w14:paraId="1BC9C679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lang w:bidi="ar-SA"/>
        </w:rPr>
        <w:t>（三）现场评估。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专家评审组结合书面评审和工作实际提出现场评估名单，进行现场评估，出具现场评估意见。</w:t>
      </w:r>
    </w:p>
    <w:p w14:paraId="7338EAFC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lang w:bidi="ar-SA"/>
        </w:rPr>
        <w:t>（四）综合评议。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结合书面评审和现场评估的结果，评审工作组提出拟命名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val="en-US" w:eastAsia="zh-CN" w:bidi="ar-SA"/>
        </w:rPr>
        <w:t>特色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基地、拟认定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val="en-US" w:eastAsia="zh-CN" w:bidi="ar-SA"/>
        </w:rPr>
        <w:t>优秀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单位和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val="en-US" w:eastAsia="zh-CN" w:bidi="ar-SA"/>
        </w:rPr>
        <w:t>精品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项目建议名单，报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体育局批准。</w:t>
      </w:r>
    </w:p>
    <w:p w14:paraId="3DC71EA9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体育局核定后，将拟命名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基地、拟认定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优秀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单位和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精品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项目名单向社会公示，公示时间为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个工作日。经公示无异议或异议不成立的，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省体育局以正式文件通知省辖市或省直管县（市），命名并颁发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牌匾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。市县体育部门负责将正式文件送达被命名的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省体育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产业优秀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单位、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精品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项目所在的企业或组织、机构。</w:t>
      </w:r>
    </w:p>
    <w:p w14:paraId="5BA27E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示范与支持</w:t>
      </w:r>
    </w:p>
    <w:p w14:paraId="0F673121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体育产业基地应承担引领带动体育产业发展的责任和义务。</w:t>
      </w:r>
    </w:p>
    <w:p w14:paraId="1E2F8087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基地应发挥政府多部门合作的体育产业发展工作协调机制作用，建立体育产业服务平台，持续优化市场环境。</w:t>
      </w:r>
    </w:p>
    <w:p w14:paraId="4EA6667B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lang w:val="en-US" w:eastAsia="zh-CN" w:bidi="ar-SA"/>
        </w:rPr>
        <w:t>优秀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单位应加强技术、产品、经营模式等方面的创新，提升品牌影响力。</w:t>
      </w:r>
    </w:p>
    <w:p w14:paraId="774D8C55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lang w:val="en-US" w:eastAsia="zh-CN" w:bidi="ar-SA"/>
        </w:rPr>
        <w:t>精品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项目应发挥项目运营优势，不断扩大项目的影响力和综合效益。</w:t>
      </w:r>
    </w:p>
    <w:p w14:paraId="17254836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体育产业基地应与高等院校、科研机构合作，建立政产学研协同创新机制，加速体育产业人才培养。</w:t>
      </w:r>
    </w:p>
    <w:p w14:paraId="05287018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lang w:eastAsia="zh-CN" w:bidi="ar-SA"/>
        </w:rPr>
        <w:t>河北省体育局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将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体育产业基地发展纳入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 w:bidi="ar-SA"/>
        </w:rPr>
        <w:t>省级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体育产业发展规划，加强政策引导，完善联系服务机制，在信息服务、人才培养、资源对接、品牌推广等方面给予支持。</w:t>
      </w:r>
    </w:p>
    <w:p w14:paraId="55AF5375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lang w:eastAsia="zh-CN" w:bidi="ar-SA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级体育行政部门应当积极协调相关部门和机构，为本区域内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体育产业基地的发展提供各类政策支持，加大资源导入力度，营造良好发展环境。</w:t>
      </w:r>
    </w:p>
    <w:p w14:paraId="464E7C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管理与考核</w:t>
      </w:r>
    </w:p>
    <w:p w14:paraId="70AF3901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体育局建立和完善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体育产业基地的动态管理机制，加强考核管理，通过年度考核和抽检巡查两种方式进行考核监督。年度考核和抽检巡查由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河北省体育局财务保障和产业服务中心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组织实施。</w:t>
      </w:r>
    </w:p>
    <w:p w14:paraId="2675D8C6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级体育行政部门应加强对本区域内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体育产业基地的日常监管，并做好日常监管记录。</w:t>
      </w:r>
    </w:p>
    <w:p w14:paraId="460BD834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体育产业基地应于每年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11月30日前以书面形式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提交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年度发展报告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和发展数据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，并经由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级体育行政部门审核报送。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级体育行政部门同时报送政策支持、资源导入、日常监管等工作情况。年度考核结果的评定以发展报告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和发展数据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作为主要依据。</w:t>
      </w:r>
    </w:p>
    <w:p w14:paraId="17112EB7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河北省体育局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财务产业中心不定期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选取不同类型的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bidi="ar-SA"/>
        </w:rPr>
        <w:t>体育产业基地组织实地巡查，并评定巡查结果。被抽查产业基地应按要求报送有关情况，并对其真实性负责。</w:t>
      </w:r>
    </w:p>
    <w:p w14:paraId="5C9CD6F1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对发生下列情况的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val="en-US" w:eastAsia="zh-CN" w:bidi="ar-SA"/>
        </w:rPr>
        <w:t>特色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基地，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河北省体育局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将予以警示： </w:t>
      </w:r>
    </w:p>
    <w:p w14:paraId="39D139C7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（一）基地管理机制、发展规划、支持政策等落实不到位的； </w:t>
      </w:r>
    </w:p>
    <w:p w14:paraId="3251C732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（二）基地安全管理和风险防控制度落实不到位的； </w:t>
      </w:r>
    </w:p>
    <w:p w14:paraId="5CB0DE7C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（三）基地发展主要经济指标连续两年低于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全省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平均水平的； </w:t>
      </w:r>
    </w:p>
    <w:p w14:paraId="4EBB14C2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（四）未按本办法要求提交年度发展报告和相关材料的； </w:t>
      </w:r>
    </w:p>
    <w:p w14:paraId="7EFC1088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（五）年度考核和抽检巡查不合格的。 </w:t>
      </w:r>
    </w:p>
    <w:p w14:paraId="0B90F4D2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对发生下列情况的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val="en-US" w:eastAsia="zh-CN" w:bidi="ar-SA"/>
        </w:rPr>
        <w:t>优秀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单位，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河北省体育局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将予以警示： </w:t>
      </w:r>
    </w:p>
    <w:p w14:paraId="427F401A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（一）所提供的产品、服务或单位行为给社会造成不良影响的； </w:t>
      </w:r>
    </w:p>
    <w:p w14:paraId="57CE165C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（二）因管理不当连续两年亏损或其他财务状况异常的； </w:t>
      </w:r>
    </w:p>
    <w:p w14:paraId="3C7ACCC7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（三）安全管理和风险防控制度落实不到位的； </w:t>
      </w:r>
    </w:p>
    <w:p w14:paraId="71231999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（四）未按本办法要求提交年度发展报告和相关材料的； </w:t>
      </w:r>
    </w:p>
    <w:p w14:paraId="68D9F955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（五）年度考核和抽检巡查不合格的。 </w:t>
      </w:r>
    </w:p>
    <w:p w14:paraId="2A6BF317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对发生下列情况的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val="en-US" w:eastAsia="zh-CN" w:bidi="ar-SA"/>
        </w:rPr>
        <w:t>精品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项目，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河北省体育局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将予以警示： </w:t>
      </w:r>
    </w:p>
    <w:p w14:paraId="70DB1AF0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（一）所提供的产品、服务或运营机构的行为给社会造成不良影响的； </w:t>
      </w:r>
    </w:p>
    <w:p w14:paraId="65F13F91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（二）因管理不当连续两年未正常运营或亏损的； </w:t>
      </w:r>
    </w:p>
    <w:p w14:paraId="1511FDB6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（三）安全管理和风险防控制度落实不到位的； </w:t>
      </w:r>
    </w:p>
    <w:p w14:paraId="508C72F8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（四）未按本办法要求提交年度报告和相关材料的； </w:t>
      </w:r>
    </w:p>
    <w:p w14:paraId="1EAA9CA5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（五）年度考核和抽检巡查不合格的。 </w:t>
      </w:r>
    </w:p>
    <w:p w14:paraId="68B83CB3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受到警示的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体育产业基地应在1个月内报送整改措施和完成时间，限期整改。 </w:t>
      </w:r>
    </w:p>
    <w:p w14:paraId="1DD8A472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有下列行为之一者，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河北省体育局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将撤销其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体育产业基地资格，且在3年内不得再次申报： </w:t>
      </w:r>
    </w:p>
    <w:p w14:paraId="2A999B13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（一）提供虚假信息或进行虚假宣传，造成重大不良影响的； </w:t>
      </w:r>
    </w:p>
    <w:p w14:paraId="161BD611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（二）采取不正当竞争手段，造成重大不良影响的； </w:t>
      </w:r>
    </w:p>
    <w:p w14:paraId="05307682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（三）发生重大安全生产责任事故的； </w:t>
      </w:r>
    </w:p>
    <w:p w14:paraId="7365D07A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（四）无特殊原因停止建设或经营1年以上的； </w:t>
      </w:r>
    </w:p>
    <w:p w14:paraId="7F082045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（五）有重大违法、违规行为的； </w:t>
      </w:r>
    </w:p>
    <w:p w14:paraId="75884A1A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（六）有本办法第二十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五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、二十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六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、二十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七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条规定行为，受到警示且不整改或在规定时间内整改不到位的； </w:t>
      </w:r>
    </w:p>
    <w:p w14:paraId="1D400A3F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（七）规划、经营方向、主营业务等发生重大变化，不再符合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体育产业基地条件的； </w:t>
      </w:r>
    </w:p>
    <w:p w14:paraId="22FBCBAC"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（八）其他应当取消资格的行为。 </w:t>
      </w:r>
    </w:p>
    <w:p w14:paraId="4D4154FC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对到期自动撤销和因本办法第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二十九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条行为被撤销资格的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>体育产业基地，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eastAsia="zh-CN" w:bidi="ar-SA"/>
        </w:rPr>
        <w:t>河北省体育局</w:t>
      </w:r>
      <w:r>
        <w:rPr>
          <w:rFonts w:hint="eastAsia" w:ascii="仿宋_GB2312" w:hAnsi="仿宋_GB2312"/>
          <w:b w:val="0"/>
          <w:bCs w:val="0"/>
          <w:color w:val="000000"/>
          <w:kern w:val="2"/>
          <w:sz w:val="32"/>
          <w:lang w:bidi="ar-SA"/>
        </w:rPr>
        <w:t xml:space="preserve">发布公告予以明确。 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 w14:paraId="6D2087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附则</w:t>
      </w:r>
    </w:p>
    <w:p w14:paraId="163AF682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本办法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适用于所有由河北省体育局命名、认定的所有河北省体育产业基地，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由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河北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省体育局负责解释。</w:t>
      </w:r>
    </w:p>
    <w:p w14:paraId="502D3A3F">
      <w:pPr>
        <w:pStyle w:val="17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本办法自发布之日起实施，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有效期5年。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原《河北省体育产业基地管理办法》（冀体经字〔20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号）同时废止。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CAB009-47C0-4013-BCBC-BC7CF3D2AA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F8AAFC0-AC50-4088-B1A1-8247CD5730B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171C2DC-8DDA-4628-81DB-E2F5D8B5DA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B078384-E038-491C-B42D-B5B00C771A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2AF29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23C25"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23C25"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C8C61"/>
    <w:multiLevelType w:val="singleLevel"/>
    <w:tmpl w:val="01DC8C61"/>
    <w:lvl w:ilvl="0" w:tentative="0">
      <w:start w:val="1"/>
      <w:numFmt w:val="chineseCounting"/>
      <w:suff w:val="space"/>
      <w:lvlText w:val="第%1条"/>
      <w:lvlJc w:val="left"/>
      <w:rPr>
        <w:rFonts w:hint="eastAsia" w:ascii="仿宋_GB2312" w:hAnsi="仿宋_GB2312" w:eastAsia="仿宋_GB2312" w:cs="仿宋_GB2312"/>
        <w:b/>
        <w:bCs/>
      </w:rPr>
    </w:lvl>
  </w:abstractNum>
  <w:abstractNum w:abstractNumId="1">
    <w:nsid w:val="62F0FA22"/>
    <w:multiLevelType w:val="multilevel"/>
    <w:tmpl w:val="62F0FA22"/>
    <w:lvl w:ilvl="0" w:tentative="0">
      <w:start w:val="1"/>
      <w:numFmt w:val="chineseCountingThousand"/>
      <w:pStyle w:val="5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3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ZmI0ZDIwNzJlMWQ3NTRmMWIwYTg4MDg1YTM2NTkifQ=="/>
  </w:docVars>
  <w:rsids>
    <w:rsidRoot w:val="2ADE62D6"/>
    <w:rsid w:val="0038695E"/>
    <w:rsid w:val="044B44B1"/>
    <w:rsid w:val="083B7EB6"/>
    <w:rsid w:val="0A6326AD"/>
    <w:rsid w:val="0E367D35"/>
    <w:rsid w:val="0E957FC5"/>
    <w:rsid w:val="122263F0"/>
    <w:rsid w:val="12F0798D"/>
    <w:rsid w:val="14905962"/>
    <w:rsid w:val="1BE54A53"/>
    <w:rsid w:val="206E37AF"/>
    <w:rsid w:val="21B031EF"/>
    <w:rsid w:val="269404CF"/>
    <w:rsid w:val="28A92A86"/>
    <w:rsid w:val="2A1F75E5"/>
    <w:rsid w:val="2ADE62D6"/>
    <w:rsid w:val="327B5853"/>
    <w:rsid w:val="349A0458"/>
    <w:rsid w:val="35197901"/>
    <w:rsid w:val="367C3D6B"/>
    <w:rsid w:val="369D1B81"/>
    <w:rsid w:val="3A322703"/>
    <w:rsid w:val="3A662852"/>
    <w:rsid w:val="3FBC0A5B"/>
    <w:rsid w:val="401E70D3"/>
    <w:rsid w:val="452F565F"/>
    <w:rsid w:val="4DA03F6F"/>
    <w:rsid w:val="517E01FF"/>
    <w:rsid w:val="51E26B78"/>
    <w:rsid w:val="5A70077A"/>
    <w:rsid w:val="5ABF631A"/>
    <w:rsid w:val="5C962DF1"/>
    <w:rsid w:val="615E79DF"/>
    <w:rsid w:val="61770BF8"/>
    <w:rsid w:val="627E3B84"/>
    <w:rsid w:val="65960E66"/>
    <w:rsid w:val="68005337"/>
    <w:rsid w:val="6CC31F95"/>
    <w:rsid w:val="6DFC6633"/>
    <w:rsid w:val="71C730BB"/>
    <w:rsid w:val="75B46B29"/>
    <w:rsid w:val="7E4D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numPr>
        <w:ilvl w:val="0"/>
        <w:numId w:val="1"/>
      </w:num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8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10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2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next w:val="3"/>
    <w:autoRedefine/>
    <w:qFormat/>
    <w:uiPriority w:val="0"/>
    <w:pPr>
      <w:snapToGrid w:val="0"/>
      <w:jc w:val="left"/>
    </w:pPr>
    <w:rPr>
      <w:rFonts w:ascii="Calibri" w:hAnsi="Calibri"/>
      <w:sz w:val="18"/>
    </w:rPr>
  </w:style>
  <w:style w:type="paragraph" w:customStyle="1" w:styleId="3">
    <w:name w:val="BodyText"/>
    <w:basedOn w:val="1"/>
    <w:next w:val="4"/>
    <w:autoRedefine/>
    <w:qFormat/>
    <w:uiPriority w:val="0"/>
    <w:pPr>
      <w:spacing w:after="120" w:line="240" w:lineRule="auto"/>
      <w:ind w:left="0" w:firstLine="0"/>
      <w:jc w:val="both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4">
    <w:name w:val="BodyText1I"/>
    <w:basedOn w:val="3"/>
    <w:autoRedefine/>
    <w:qFormat/>
    <w:uiPriority w:val="0"/>
    <w:pPr>
      <w:spacing w:after="120" w:line="560" w:lineRule="exact"/>
      <w:ind w:left="0" w:firstLine="420" w:firstLineChars="100"/>
      <w:jc w:val="both"/>
      <w:textAlignment w:val="baseline"/>
    </w:pPr>
    <w:rPr>
      <w:rFonts w:ascii="Times New Roman" w:hAnsi="Times New Roman" w:eastAsia="仿宋_GB2312"/>
      <w:kern w:val="2"/>
      <w:sz w:val="32"/>
      <w:szCs w:val="20"/>
      <w:lang w:val="en-US" w:eastAsia="zh-CN" w:bidi="ar-SA"/>
    </w:rPr>
  </w:style>
  <w:style w:type="paragraph" w:styleId="14">
    <w:name w:val="toc 3"/>
    <w:basedOn w:val="1"/>
    <w:next w:val="1"/>
    <w:autoRedefine/>
    <w:qFormat/>
    <w:uiPriority w:val="0"/>
    <w:pPr>
      <w:ind w:left="840" w:leftChars="400"/>
    </w:p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0">
    <w:name w:val="Strong"/>
    <w:basedOn w:val="1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4488</Words>
  <Characters>4520</Characters>
  <Lines>0</Lines>
  <Paragraphs>0</Paragraphs>
  <TotalTime>34</TotalTime>
  <ScaleCrop>false</ScaleCrop>
  <LinksUpToDate>false</LinksUpToDate>
  <CharactersWithSpaces>4557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2023-08-17T08:20:00Z</dcterms:created>
  <dc:creator>张建军</dc:creator>
  <cp:lastModifiedBy>玫瑰无香</cp:lastModifiedBy>
  <cp:lastPrinted>2026-05-08T07:14:00Z</cp:lastPrinted>
  <dcterms:modified xsi:type="dcterms:W3CDTF">2026-05-19T08:14:57Z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40DD29D7F3BA4B1C89D8F0392D080CE4_13</vt:lpwstr>
  </property>
  <property fmtid="{D5CDD505-2E9C-101B-9397-08002B2CF9AE}" pid="4" name="KSOTemplateDocerSaveRecord">
    <vt:lpwstr>eyJoZGlkIjoiOTY2YTI4YWM1NWU5NWQ4MTVjYjllN2JmOGIxY2YyZDQiLCJ1c2VySWQiOiIzNTM5NjkxNDMifQ==</vt:lpwstr>
  </property>
</Properties>
</file>