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696FC">
      <w:pPr>
        <w:keepNext w:val="0"/>
        <w:keepLines w:val="0"/>
        <w:pageBreakBefore w:val="0"/>
        <w:widowControl/>
        <w:kinsoku/>
        <w:wordWrap/>
        <w:overflowPunct/>
        <w:topLinePunct w:val="0"/>
        <w:autoSpaceDE/>
        <w:autoSpaceDN/>
        <w:bidi w:val="0"/>
        <w:adjustRightInd/>
        <w:snapToGrid/>
        <w:spacing w:before="312" w:beforeLines="100" w:line="360" w:lineRule="auto"/>
        <w:jc w:val="center"/>
        <w:textAlignment w:val="auto"/>
        <w:rPr>
          <w:rFonts w:hint="eastAsia" w:ascii="宋体" w:hAnsi="宋体" w:eastAsia="宋体" w:cs="宋体"/>
          <w:b/>
          <w:bCs/>
          <w:color w:val="000000"/>
          <w:kern w:val="0"/>
          <w:sz w:val="44"/>
          <w:szCs w:val="44"/>
          <w:lang w:val="en-US" w:eastAsia="zh-CN"/>
        </w:rPr>
      </w:pPr>
      <w:r>
        <w:rPr>
          <w:rFonts w:hint="eastAsia" w:ascii="宋体" w:hAnsi="宋体" w:eastAsia="宋体" w:cs="宋体"/>
          <w:b/>
          <w:bCs/>
          <w:color w:val="000000"/>
          <w:kern w:val="0"/>
          <w:sz w:val="44"/>
          <w:szCs w:val="44"/>
          <w:lang w:val="en-US" w:eastAsia="zh-CN"/>
        </w:rPr>
        <w:t>河北省体育赛事活动管理办法</w:t>
      </w:r>
    </w:p>
    <w:p w14:paraId="0221F921">
      <w:pPr>
        <w:keepNext w:val="0"/>
        <w:keepLines w:val="0"/>
        <w:pageBreakBefore w:val="0"/>
        <w:widowControl/>
        <w:kinsoku/>
        <w:wordWrap/>
        <w:overflowPunct/>
        <w:topLinePunct w:val="0"/>
        <w:autoSpaceDE/>
        <w:autoSpaceDN/>
        <w:bidi w:val="0"/>
        <w:adjustRightInd/>
        <w:snapToGrid/>
        <w:spacing w:before="312" w:beforeLines="100" w:line="360" w:lineRule="auto"/>
        <w:jc w:val="center"/>
        <w:textAlignment w:val="auto"/>
        <w:rPr>
          <w:rFonts w:hint="eastAsia" w:ascii="宋体" w:hAnsi="宋体" w:eastAsia="宋体" w:cs="宋体"/>
          <w:b/>
          <w:bCs/>
          <w:color w:val="000000"/>
          <w:kern w:val="0"/>
          <w:sz w:val="44"/>
          <w:szCs w:val="44"/>
          <w:lang w:val="en-US" w:eastAsia="zh-CN"/>
        </w:rPr>
      </w:pPr>
      <w:r>
        <w:rPr>
          <w:rFonts w:hint="eastAsia" w:ascii="宋体" w:hAnsi="宋体" w:eastAsia="宋体" w:cs="宋体"/>
          <w:b/>
          <w:bCs/>
          <w:color w:val="000000"/>
          <w:kern w:val="0"/>
          <w:sz w:val="44"/>
          <w:szCs w:val="44"/>
          <w:lang w:val="en-US" w:eastAsia="zh-CN"/>
        </w:rPr>
        <w:t>（</w:t>
      </w:r>
      <w:r>
        <w:rPr>
          <w:rFonts w:hint="eastAsia" w:ascii="宋体" w:hAnsi="宋体" w:cs="宋体"/>
          <w:b/>
          <w:bCs/>
          <w:color w:val="000000"/>
          <w:kern w:val="0"/>
          <w:sz w:val="44"/>
          <w:szCs w:val="44"/>
          <w:lang w:val="en-US" w:eastAsia="zh-CN"/>
        </w:rPr>
        <w:t>征求意见稿</w:t>
      </w:r>
      <w:r>
        <w:rPr>
          <w:rFonts w:hint="eastAsia" w:ascii="宋体" w:hAnsi="宋体" w:eastAsia="宋体" w:cs="宋体"/>
          <w:b/>
          <w:bCs/>
          <w:color w:val="000000"/>
          <w:kern w:val="0"/>
          <w:sz w:val="44"/>
          <w:szCs w:val="44"/>
          <w:lang w:val="en-US" w:eastAsia="zh-CN"/>
        </w:rPr>
        <w:t>）</w:t>
      </w:r>
    </w:p>
    <w:p w14:paraId="1D892EB1">
      <w:pPr>
        <w:keepNext w:val="0"/>
        <w:keepLines w:val="0"/>
        <w:pageBreakBefore w:val="0"/>
        <w:widowControl/>
        <w:kinsoku/>
        <w:wordWrap/>
        <w:overflowPunct/>
        <w:topLinePunct w:val="0"/>
        <w:autoSpaceDE/>
        <w:autoSpaceDN/>
        <w:bidi w:val="0"/>
        <w:adjustRightInd/>
        <w:snapToGrid/>
        <w:spacing w:line="360" w:lineRule="auto"/>
        <w:ind w:firstLine="643" w:firstLineChars="200"/>
        <w:jc w:val="both"/>
        <w:textAlignment w:val="auto"/>
        <w:rPr>
          <w:rFonts w:hint="eastAsia" w:ascii="黑体" w:hAnsi="黑体" w:eastAsia="黑体" w:cs="黑体"/>
          <w:b/>
          <w:bCs/>
          <w:color w:val="000000"/>
          <w:kern w:val="0"/>
          <w:sz w:val="32"/>
          <w:szCs w:val="32"/>
          <w:lang w:val="en-US" w:eastAsia="zh-CN"/>
        </w:rPr>
      </w:pPr>
      <w:r>
        <w:rPr>
          <w:rFonts w:hint="eastAsia" w:ascii="仿宋" w:hAnsi="仿宋" w:eastAsia="仿宋" w:cs="仿宋"/>
          <w:b/>
          <w:bCs/>
          <w:color w:val="000000"/>
          <w:kern w:val="0"/>
          <w:sz w:val="32"/>
          <w:szCs w:val="32"/>
        </w:rPr>
        <w:t>第一条</w:t>
      </w:r>
      <w:r>
        <w:rPr>
          <w:rFonts w:hint="eastAsia" w:ascii="仿宋" w:hAnsi="仿宋" w:eastAsia="仿宋" w:cs="仿宋"/>
          <w:b/>
          <w:bCs/>
          <w:color w:val="000000"/>
          <w:kern w:val="0"/>
          <w:sz w:val="32"/>
          <w:szCs w:val="32"/>
          <w:lang w:val="en-US" w:eastAsia="zh-CN"/>
        </w:rPr>
        <w:t xml:space="preserve">  </w:t>
      </w:r>
      <w:r>
        <w:rPr>
          <w:rFonts w:hint="eastAsia" w:ascii="仿宋" w:hAnsi="仿宋" w:eastAsia="仿宋" w:cs="仿宋"/>
          <w:color w:val="000000"/>
          <w:kern w:val="0"/>
          <w:sz w:val="32"/>
          <w:szCs w:val="32"/>
        </w:rPr>
        <w:t>为规范体育赛事活动，</w:t>
      </w:r>
      <w:r>
        <w:rPr>
          <w:rFonts w:hint="eastAsia" w:ascii="仿宋" w:hAnsi="仿宋" w:eastAsia="仿宋" w:cs="仿宋"/>
          <w:color w:val="000000"/>
          <w:kern w:val="0"/>
          <w:sz w:val="32"/>
          <w:szCs w:val="32"/>
          <w:lang w:val="en-US" w:eastAsia="zh-CN"/>
        </w:rPr>
        <w:t>维护</w:t>
      </w:r>
      <w:r>
        <w:rPr>
          <w:rFonts w:hint="eastAsia" w:ascii="仿宋" w:hAnsi="仿宋" w:eastAsia="仿宋" w:cs="仿宋"/>
          <w:color w:val="000000"/>
          <w:kern w:val="0"/>
          <w:sz w:val="32"/>
          <w:szCs w:val="32"/>
        </w:rPr>
        <w:t>体育赛事活动安全和秩序，促进体育事业健康发展，根据《中华人民共和国体育法》</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《全民健身条例》</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河北省全民健身条例》等</w:t>
      </w:r>
      <w:r>
        <w:rPr>
          <w:rFonts w:hint="eastAsia" w:ascii="仿宋" w:hAnsi="仿宋" w:eastAsia="仿宋" w:cs="仿宋"/>
          <w:color w:val="000000"/>
          <w:kern w:val="0"/>
          <w:sz w:val="32"/>
          <w:szCs w:val="32"/>
        </w:rPr>
        <w:t>法律法规，结合本省实际，制定本办法。</w:t>
      </w:r>
    </w:p>
    <w:p w14:paraId="48A1EA90">
      <w:pPr>
        <w:keepNext w:val="0"/>
        <w:keepLines w:val="0"/>
        <w:pageBreakBefore w:val="0"/>
        <w:widowControl/>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b/>
          <w:bCs/>
          <w:color w:val="000000"/>
          <w:kern w:val="0"/>
          <w:sz w:val="32"/>
          <w:szCs w:val="32"/>
        </w:rPr>
        <w:t>第</w:t>
      </w:r>
      <w:r>
        <w:rPr>
          <w:rFonts w:hint="eastAsia" w:ascii="仿宋" w:hAnsi="仿宋" w:eastAsia="仿宋" w:cs="仿宋"/>
          <w:b/>
          <w:bCs/>
          <w:color w:val="000000"/>
          <w:kern w:val="0"/>
          <w:sz w:val="32"/>
          <w:szCs w:val="32"/>
          <w:lang w:val="en-US" w:eastAsia="zh-CN"/>
        </w:rPr>
        <w:t>二</w:t>
      </w:r>
      <w:r>
        <w:rPr>
          <w:rFonts w:hint="eastAsia" w:ascii="仿宋" w:hAnsi="仿宋" w:eastAsia="仿宋" w:cs="仿宋"/>
          <w:b/>
          <w:bCs/>
          <w:color w:val="000000"/>
          <w:kern w:val="0"/>
          <w:sz w:val="32"/>
          <w:szCs w:val="32"/>
        </w:rPr>
        <w:t>条</w:t>
      </w:r>
      <w:r>
        <w:rPr>
          <w:rFonts w:hint="eastAsia" w:ascii="仿宋" w:hAnsi="仿宋" w:eastAsia="仿宋" w:cs="仿宋"/>
          <w:b/>
          <w:bCs/>
          <w:color w:val="000000"/>
          <w:kern w:val="0"/>
          <w:sz w:val="32"/>
          <w:szCs w:val="32"/>
          <w:lang w:val="en-US" w:eastAsia="zh-CN"/>
        </w:rPr>
        <w:t xml:space="preserve">  </w:t>
      </w:r>
      <w:r>
        <w:rPr>
          <w:rFonts w:hint="eastAsia" w:ascii="仿宋" w:hAnsi="仿宋" w:eastAsia="仿宋" w:cs="仿宋"/>
          <w:color w:val="000000"/>
          <w:kern w:val="0"/>
          <w:sz w:val="32"/>
          <w:szCs w:val="32"/>
          <w:highlight w:val="none"/>
        </w:rPr>
        <w:t>本省行政区域内</w:t>
      </w:r>
      <w:r>
        <w:rPr>
          <w:rFonts w:hint="eastAsia" w:ascii="仿宋" w:hAnsi="仿宋" w:eastAsia="仿宋" w:cs="仿宋"/>
          <w:color w:val="000000"/>
          <w:kern w:val="0"/>
          <w:sz w:val="32"/>
          <w:szCs w:val="32"/>
          <w:highlight w:val="none"/>
          <w:lang w:val="en-US" w:eastAsia="zh-CN"/>
        </w:rPr>
        <w:t>依法举办的面向社会的以国家体育总局公布的体育运动项目为内容的体育赛事活动，</w:t>
      </w:r>
      <w:r>
        <w:rPr>
          <w:rFonts w:hint="eastAsia" w:ascii="仿宋" w:hAnsi="仿宋" w:eastAsia="仿宋" w:cs="仿宋"/>
          <w:color w:val="000000"/>
          <w:kern w:val="0"/>
          <w:sz w:val="32"/>
          <w:szCs w:val="32"/>
          <w:highlight w:val="none"/>
        </w:rPr>
        <w:t>适用本办法。</w:t>
      </w:r>
    </w:p>
    <w:p w14:paraId="79A8689F">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国家对国际性、全国性体育赛事</w:t>
      </w:r>
      <w:r>
        <w:rPr>
          <w:rFonts w:hint="eastAsia" w:ascii="仿宋" w:hAnsi="仿宋" w:eastAsia="仿宋" w:cs="仿宋"/>
          <w:color w:val="000000"/>
          <w:kern w:val="0"/>
          <w:sz w:val="32"/>
          <w:szCs w:val="32"/>
          <w:lang w:val="en-US" w:eastAsia="zh-CN"/>
        </w:rPr>
        <w:t>活动</w:t>
      </w:r>
      <w:r>
        <w:rPr>
          <w:rFonts w:hint="eastAsia" w:ascii="仿宋" w:hAnsi="仿宋" w:eastAsia="仿宋" w:cs="仿宋"/>
          <w:color w:val="000000"/>
          <w:kern w:val="0"/>
          <w:sz w:val="32"/>
          <w:szCs w:val="32"/>
        </w:rPr>
        <w:t>以及其他体育赛事</w:t>
      </w:r>
      <w:r>
        <w:rPr>
          <w:rFonts w:hint="eastAsia" w:ascii="仿宋" w:hAnsi="仿宋" w:eastAsia="仿宋" w:cs="仿宋"/>
          <w:color w:val="000000"/>
          <w:kern w:val="0"/>
          <w:sz w:val="32"/>
          <w:szCs w:val="32"/>
          <w:lang w:val="en-US" w:eastAsia="zh-CN"/>
        </w:rPr>
        <w:t>活动</w:t>
      </w:r>
      <w:r>
        <w:rPr>
          <w:rFonts w:hint="eastAsia" w:ascii="仿宋" w:hAnsi="仿宋" w:eastAsia="仿宋" w:cs="仿宋"/>
          <w:color w:val="000000"/>
          <w:kern w:val="0"/>
          <w:sz w:val="32"/>
          <w:szCs w:val="32"/>
        </w:rPr>
        <w:t>另有规定的，从其规定。</w:t>
      </w:r>
    </w:p>
    <w:p w14:paraId="5EA53B63">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举办本单位、本行业系统内</w:t>
      </w:r>
      <w:r>
        <w:rPr>
          <w:rFonts w:hint="eastAsia" w:ascii="仿宋" w:hAnsi="仿宋" w:eastAsia="仿宋" w:cs="仿宋"/>
          <w:color w:val="000000"/>
          <w:kern w:val="0"/>
          <w:sz w:val="32"/>
          <w:szCs w:val="32"/>
          <w:lang w:val="en-US" w:eastAsia="zh-CN"/>
        </w:rPr>
        <w:t>以及</w:t>
      </w:r>
      <w:r>
        <w:rPr>
          <w:rFonts w:hint="eastAsia" w:ascii="仿宋" w:hAnsi="仿宋" w:eastAsia="仿宋" w:cs="仿宋"/>
          <w:color w:val="000000"/>
          <w:kern w:val="0"/>
          <w:sz w:val="32"/>
          <w:szCs w:val="32"/>
          <w:lang w:eastAsia="zh-CN"/>
        </w:rPr>
        <w:t>群众自发</w:t>
      </w:r>
      <w:r>
        <w:rPr>
          <w:rFonts w:hint="eastAsia" w:ascii="仿宋" w:hAnsi="仿宋" w:eastAsia="仿宋" w:cs="仿宋"/>
          <w:color w:val="000000"/>
          <w:kern w:val="0"/>
          <w:sz w:val="32"/>
          <w:szCs w:val="32"/>
          <w:lang w:val="en-US" w:eastAsia="zh-CN"/>
        </w:rPr>
        <w:t>组织</w:t>
      </w:r>
      <w:r>
        <w:rPr>
          <w:rFonts w:hint="eastAsia" w:ascii="仿宋" w:hAnsi="仿宋" w:eastAsia="仿宋" w:cs="仿宋"/>
          <w:color w:val="000000"/>
          <w:kern w:val="0"/>
          <w:sz w:val="32"/>
          <w:szCs w:val="32"/>
        </w:rPr>
        <w:t>的体育赛事</w:t>
      </w:r>
      <w:r>
        <w:rPr>
          <w:rFonts w:hint="eastAsia" w:ascii="仿宋" w:hAnsi="仿宋" w:eastAsia="仿宋" w:cs="仿宋"/>
          <w:color w:val="000000"/>
          <w:kern w:val="0"/>
          <w:sz w:val="32"/>
          <w:szCs w:val="32"/>
          <w:lang w:eastAsia="zh-CN"/>
        </w:rPr>
        <w:t>活动</w:t>
      </w:r>
      <w:r>
        <w:rPr>
          <w:rFonts w:hint="eastAsia" w:ascii="仿宋" w:hAnsi="仿宋" w:eastAsia="仿宋" w:cs="仿宋"/>
          <w:color w:val="000000"/>
          <w:kern w:val="0"/>
          <w:sz w:val="32"/>
          <w:szCs w:val="32"/>
        </w:rPr>
        <w:t>，可以参照本办法执行。</w:t>
      </w:r>
    </w:p>
    <w:p w14:paraId="4EEBF107">
      <w:pPr>
        <w:keepNext w:val="0"/>
        <w:keepLines w:val="0"/>
        <w:pageBreakBefore w:val="0"/>
        <w:widowControl/>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color w:val="000000"/>
          <w:kern w:val="0"/>
          <w:sz w:val="32"/>
          <w:szCs w:val="32"/>
          <w:lang w:eastAsia="zh-CN"/>
        </w:rPr>
      </w:pPr>
      <w:r>
        <w:rPr>
          <w:rFonts w:hint="eastAsia" w:ascii="仿宋" w:hAnsi="仿宋" w:eastAsia="仿宋" w:cs="仿宋"/>
          <w:b/>
          <w:bCs/>
          <w:color w:val="000000"/>
          <w:kern w:val="0"/>
          <w:sz w:val="32"/>
          <w:szCs w:val="32"/>
        </w:rPr>
        <w:t>第三条</w:t>
      </w:r>
      <w:r>
        <w:rPr>
          <w:rFonts w:hint="eastAsia" w:ascii="仿宋" w:hAnsi="仿宋" w:eastAsia="仿宋" w:cs="仿宋"/>
          <w:b/>
          <w:bCs/>
          <w:color w:val="000000"/>
          <w:kern w:val="0"/>
          <w:sz w:val="32"/>
          <w:szCs w:val="32"/>
          <w:lang w:val="en-US" w:eastAsia="zh-CN"/>
        </w:rPr>
        <w:t xml:space="preserve">  </w:t>
      </w:r>
      <w:r>
        <w:rPr>
          <w:rFonts w:hint="eastAsia" w:ascii="仿宋" w:hAnsi="仿宋" w:eastAsia="仿宋" w:cs="仿宋"/>
          <w:color w:val="000000"/>
          <w:kern w:val="0"/>
          <w:sz w:val="32"/>
          <w:szCs w:val="32"/>
        </w:rPr>
        <w:t>体育赛事活动</w:t>
      </w:r>
      <w:r>
        <w:rPr>
          <w:rFonts w:hint="eastAsia" w:ascii="仿宋" w:hAnsi="仿宋" w:eastAsia="仿宋" w:cs="仿宋"/>
          <w:color w:val="000000"/>
          <w:kern w:val="0"/>
          <w:sz w:val="32"/>
          <w:szCs w:val="32"/>
          <w:lang w:val="en-US" w:eastAsia="zh-CN"/>
        </w:rPr>
        <w:t>举办</w:t>
      </w:r>
      <w:r>
        <w:rPr>
          <w:rFonts w:hint="eastAsia" w:ascii="仿宋" w:hAnsi="仿宋" w:eastAsia="仿宋" w:cs="仿宋"/>
          <w:color w:val="000000"/>
          <w:kern w:val="0"/>
          <w:sz w:val="32"/>
          <w:szCs w:val="32"/>
        </w:rPr>
        <w:t>应当遵循安全公开、公平公正、诚信文明、绿色简约的原则</w:t>
      </w:r>
      <w:r>
        <w:rPr>
          <w:rFonts w:hint="eastAsia" w:ascii="仿宋" w:hAnsi="仿宋" w:eastAsia="仿宋" w:cs="仿宋"/>
          <w:color w:val="000000"/>
          <w:kern w:val="0"/>
          <w:sz w:val="32"/>
          <w:szCs w:val="32"/>
          <w:lang w:eastAsia="zh-CN"/>
        </w:rPr>
        <w:t>。</w:t>
      </w:r>
    </w:p>
    <w:p w14:paraId="51FD6627">
      <w:pPr>
        <w:keepNext w:val="0"/>
        <w:keepLines w:val="0"/>
        <w:pageBreakBefore w:val="0"/>
        <w:widowControl/>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 xml:space="preserve">第四条  </w:t>
      </w:r>
      <w:r>
        <w:rPr>
          <w:rFonts w:hint="eastAsia" w:ascii="仿宋" w:hAnsi="仿宋" w:eastAsia="仿宋" w:cs="仿宋"/>
          <w:color w:val="000000"/>
          <w:kern w:val="0"/>
          <w:sz w:val="32"/>
          <w:szCs w:val="32"/>
        </w:rPr>
        <w:t>县级以上体育行政部门负责</w:t>
      </w:r>
      <w:r>
        <w:rPr>
          <w:rFonts w:hint="eastAsia" w:ascii="仿宋" w:hAnsi="仿宋" w:eastAsia="仿宋" w:cs="仿宋"/>
          <w:color w:val="000000"/>
          <w:kern w:val="0"/>
          <w:sz w:val="32"/>
          <w:szCs w:val="32"/>
          <w:lang w:val="en-US" w:eastAsia="zh-CN"/>
        </w:rPr>
        <w:t>本行政</w:t>
      </w:r>
      <w:r>
        <w:rPr>
          <w:rFonts w:hint="eastAsia" w:ascii="仿宋" w:hAnsi="仿宋" w:eastAsia="仿宋" w:cs="仿宋"/>
          <w:color w:val="000000"/>
          <w:kern w:val="0"/>
          <w:sz w:val="32"/>
          <w:szCs w:val="32"/>
        </w:rPr>
        <w:t>区域内体育赛事活动的监管</w:t>
      </w:r>
      <w:r>
        <w:rPr>
          <w:rFonts w:hint="eastAsia" w:ascii="仿宋" w:hAnsi="仿宋" w:eastAsia="仿宋" w:cs="仿宋"/>
          <w:color w:val="000000"/>
          <w:kern w:val="0"/>
          <w:sz w:val="32"/>
          <w:szCs w:val="32"/>
          <w:lang w:eastAsia="zh-CN"/>
        </w:rPr>
        <w:t>。</w:t>
      </w:r>
    </w:p>
    <w:p w14:paraId="290B0AE5">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县级以上人民政府公安机关负责体育赛事活动的治安、交通秩序维护保障工作。</w:t>
      </w:r>
    </w:p>
    <w:p w14:paraId="230FC96A">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县级以上人民政府交通运输部门负责组织协调、支持体育赛事活动的交通运输保障工作。</w:t>
      </w:r>
    </w:p>
    <w:p w14:paraId="0E4FC7EF">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县级以上人民政府卫生健康部门负责组织协调体育赛事活动的医疗卫生保障工作。</w:t>
      </w:r>
    </w:p>
    <w:p w14:paraId="6DDB4A1F">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县级以上人民政府应急管理部门负责对体育赛事活动的消防安全和其他应急处置工作进行指导。</w:t>
      </w:r>
    </w:p>
    <w:p w14:paraId="2FC0B3B2">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教育、财政、文化和旅游、外事、工业和信息化、市场监督管理、网信、气象和消防救援等部门和机构应当按照各自职责做好体育赛事活动相关管理工作。</w:t>
      </w:r>
    </w:p>
    <w:p w14:paraId="0B865B0B">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第五条  </w:t>
      </w:r>
      <w:r>
        <w:rPr>
          <w:rFonts w:hint="eastAsia" w:ascii="仿宋" w:hAnsi="仿宋" w:eastAsia="仿宋" w:cs="仿宋"/>
          <w:color w:val="000000"/>
          <w:kern w:val="0"/>
          <w:sz w:val="32"/>
          <w:szCs w:val="32"/>
          <w:lang w:val="en-US" w:eastAsia="zh-CN"/>
        </w:rPr>
        <w:t>省内各级体育总会、单项体育协会和其他体育协会应当依照法律法规规章以及各自章程规定，加强行业自律，完善行业惩戒规范，开展业务培训，组织、服务、引导、规范体育赛事活动。</w:t>
      </w:r>
    </w:p>
    <w:p w14:paraId="71BC2DEB">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第六条  </w:t>
      </w:r>
      <w:r>
        <w:rPr>
          <w:rFonts w:hint="eastAsia" w:ascii="仿宋" w:hAnsi="仿宋" w:eastAsia="仿宋" w:cs="仿宋"/>
          <w:color w:val="000000"/>
          <w:kern w:val="0"/>
          <w:sz w:val="32"/>
          <w:szCs w:val="32"/>
          <w:lang w:val="en-US" w:eastAsia="zh-CN"/>
        </w:rPr>
        <w:t>支持举办各类群众基础良好、社会参与度高、具有民间特色的群众性体育赛事活动。</w:t>
      </w:r>
    </w:p>
    <w:p w14:paraId="1766ED74">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第七条  </w:t>
      </w:r>
      <w:r>
        <w:rPr>
          <w:rFonts w:hint="eastAsia" w:ascii="仿宋" w:hAnsi="仿宋" w:eastAsia="仿宋" w:cs="仿宋"/>
          <w:b w:val="0"/>
          <w:bCs w:val="0"/>
          <w:color w:val="000000"/>
          <w:kern w:val="0"/>
          <w:sz w:val="32"/>
          <w:szCs w:val="32"/>
          <w:lang w:val="en-US" w:eastAsia="zh-CN"/>
        </w:rPr>
        <w:t>省、设区的市人民政府及其体育行政部门应当加强与京津两地市、区人民政府及其体育行政部门的协作交流，通过联合申办、共同举办体育赛事活动等方式推进京津冀体育赛事活动协同发展，促进体育赛事活动人才、场地、资金、信息以及项目等资源的整合与共享。</w:t>
      </w:r>
    </w:p>
    <w:p w14:paraId="1166937E">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第八条  </w:t>
      </w:r>
      <w:r>
        <w:rPr>
          <w:rFonts w:hint="eastAsia" w:ascii="仿宋" w:hAnsi="仿宋" w:eastAsia="仿宋" w:cs="仿宋"/>
          <w:b w:val="0"/>
          <w:bCs w:val="0"/>
          <w:color w:val="000000"/>
          <w:kern w:val="0"/>
          <w:sz w:val="32"/>
          <w:szCs w:val="32"/>
          <w:lang w:val="en-US" w:eastAsia="zh-CN"/>
        </w:rPr>
        <w:t>举办依法需要行政许可的体育赛事活动，应当按照规定程序办理。</w:t>
      </w:r>
    </w:p>
    <w:p w14:paraId="70A3B626">
      <w:pPr>
        <w:keepNext w:val="0"/>
        <w:keepLines w:val="0"/>
        <w:pageBreakBefore w:val="0"/>
        <w:widowControl/>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第九条</w:t>
      </w:r>
      <w:r>
        <w:rPr>
          <w:rFonts w:hint="eastAsia" w:ascii="仿宋" w:hAnsi="仿宋" w:eastAsia="仿宋" w:cs="仿宋"/>
          <w:b w:val="0"/>
          <w:bCs w:val="0"/>
          <w:color w:val="000000"/>
          <w:kern w:val="0"/>
          <w:sz w:val="32"/>
          <w:szCs w:val="32"/>
          <w:lang w:val="en-US" w:eastAsia="zh-CN"/>
        </w:rPr>
        <w:t xml:space="preserve">  县级以上人民政府体育行政部门负责本行政区域内的高危险性体育赛事活动行政许可工作。跨行政区域的高危险性体育赛事活动由所在行政区域的体育行政部门协商确定许可方式，协商不一致的，应当向相关行政区域的体育行政部门分别提出申请。</w:t>
      </w:r>
    </w:p>
    <w:p w14:paraId="03B55DA5">
      <w:pPr>
        <w:keepNext w:val="0"/>
        <w:keepLines w:val="0"/>
        <w:pageBreakBefore w:val="0"/>
        <w:widowControl/>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第十条</w:t>
      </w:r>
      <w:r>
        <w:rPr>
          <w:rFonts w:hint="eastAsia" w:ascii="仿宋" w:hAnsi="仿宋" w:eastAsia="仿宋" w:cs="仿宋"/>
          <w:b w:val="0"/>
          <w:bCs w:val="0"/>
          <w:color w:val="000000"/>
          <w:kern w:val="0"/>
          <w:sz w:val="32"/>
          <w:szCs w:val="32"/>
          <w:lang w:val="en-US" w:eastAsia="zh-CN"/>
        </w:rPr>
        <w:t xml:space="preserve">  举办全省性单项体育赛事活动，由赛事活动申办单位通过市单项协会或者市体育行政部门报送省单项体育协会或者省体育行政部门项目管理单位，并按照办赛指南、参赛指引以及场地器材标准、安全防范要求和赛场行为规范等办理相关手续。</w:t>
      </w:r>
    </w:p>
    <w:p w14:paraId="56677B2B">
      <w:pPr>
        <w:keepNext w:val="0"/>
        <w:keepLines w:val="0"/>
        <w:pageBreakBefore w:val="0"/>
        <w:widowControl/>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第十一条  </w:t>
      </w:r>
      <w:r>
        <w:rPr>
          <w:rFonts w:hint="eastAsia" w:ascii="仿宋" w:hAnsi="仿宋" w:eastAsia="仿宋" w:cs="仿宋"/>
          <w:b w:val="0"/>
          <w:bCs w:val="0"/>
          <w:color w:val="000000"/>
          <w:kern w:val="0"/>
          <w:sz w:val="32"/>
          <w:szCs w:val="32"/>
          <w:lang w:val="en-US" w:eastAsia="zh-CN"/>
        </w:rPr>
        <w:t>体育赛事活动的名称应当与举办地域相一致，不得含有欺骗或可能造成公众误解的文字。</w:t>
      </w:r>
    </w:p>
    <w:p w14:paraId="65222810">
      <w:pPr>
        <w:keepNext w:val="0"/>
        <w:keepLines w:val="0"/>
        <w:pageBreakBefore w:val="0"/>
        <w:widowControl/>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第十二条  </w:t>
      </w:r>
      <w:r>
        <w:rPr>
          <w:rFonts w:hint="eastAsia" w:ascii="仿宋" w:hAnsi="仿宋" w:eastAsia="仿宋" w:cs="仿宋"/>
          <w:b w:val="0"/>
          <w:bCs w:val="0"/>
          <w:color w:val="000000"/>
          <w:kern w:val="0"/>
          <w:sz w:val="32"/>
          <w:szCs w:val="32"/>
          <w:lang w:val="en-US" w:eastAsia="zh-CN"/>
        </w:rPr>
        <w:t>省体育行政部门应当通过在线政务服务等平台公开各类体育赛事活动的举办条件、规范要求和基本信息，为体育赛事活动组织者和体育赛事活动相关人员提供信息服务。</w:t>
      </w:r>
    </w:p>
    <w:p w14:paraId="1CE59B25">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省体育行政部门应当与有关部门共享赛事活动基本信息，加强业务协同，优化政务服务。</w:t>
      </w:r>
    </w:p>
    <w:p w14:paraId="286B3F64">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第十三条  </w:t>
      </w:r>
      <w:r>
        <w:rPr>
          <w:rFonts w:hint="eastAsia" w:ascii="仿宋" w:hAnsi="仿宋" w:eastAsia="仿宋" w:cs="仿宋"/>
          <w:b w:val="0"/>
          <w:bCs w:val="0"/>
          <w:color w:val="000000"/>
          <w:kern w:val="0"/>
          <w:sz w:val="32"/>
          <w:szCs w:val="32"/>
          <w:lang w:val="en-US" w:eastAsia="zh-CN"/>
        </w:rPr>
        <w:t>体育赛事活动主办方负责全面组织体育赛事活动，提出体育赛事活动组织方案，与承办方共同建立组委会等组织机制，明确举办体育赛事活动相关事宜以及责任分工，组织制定安全工作方案以及相关预案，督促落实各项具体措施。</w:t>
      </w:r>
    </w:p>
    <w:p w14:paraId="68D6E31E">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b w:val="0"/>
          <w:bCs w:val="0"/>
          <w:color w:val="000000"/>
          <w:kern w:val="0"/>
          <w:sz w:val="32"/>
          <w:szCs w:val="32"/>
          <w:highlight w:val="yellow"/>
          <w:lang w:val="en-US" w:eastAsia="zh-CN"/>
        </w:rPr>
      </w:pPr>
      <w:r>
        <w:rPr>
          <w:rFonts w:hint="eastAsia" w:ascii="仿宋" w:hAnsi="仿宋" w:eastAsia="仿宋" w:cs="仿宋"/>
          <w:b w:val="0"/>
          <w:bCs w:val="0"/>
          <w:color w:val="000000"/>
          <w:kern w:val="0"/>
          <w:sz w:val="32"/>
          <w:szCs w:val="32"/>
          <w:lang w:val="en-US" w:eastAsia="zh-CN"/>
        </w:rPr>
        <w:t>两个以上单位联合主办的体育赛事活动，牵头主办单位负责统筹赛事活动组织运营、安全保障、风险防控、应急处置、赛风赛纪等事项，联合主办单位承担相应配合与监督管理责任。</w:t>
      </w:r>
    </w:p>
    <w:p w14:paraId="60364BBB">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第十四条  </w:t>
      </w:r>
      <w:r>
        <w:rPr>
          <w:rFonts w:hint="eastAsia" w:ascii="仿宋" w:hAnsi="仿宋" w:eastAsia="仿宋" w:cs="仿宋"/>
          <w:b w:val="0"/>
          <w:bCs w:val="0"/>
          <w:color w:val="000000"/>
          <w:kern w:val="0"/>
          <w:sz w:val="32"/>
          <w:szCs w:val="32"/>
          <w:lang w:val="en-US" w:eastAsia="zh-CN"/>
        </w:rPr>
        <w:t>体育赛事活动承办方应当根据体育赛事活动组织方案做好体育赛事活动各项保障工作，应当根据体育赛事活动组织方案全面落实安全保障、风险防控、应急处置等各项工作。</w:t>
      </w:r>
    </w:p>
    <w:p w14:paraId="64D1BC68">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主办方直接承担体育赛事活动筹备和组织工作的，履行承办方责任。</w:t>
      </w:r>
    </w:p>
    <w:p w14:paraId="643ED23E">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第十五条  </w:t>
      </w:r>
      <w:r>
        <w:rPr>
          <w:rFonts w:hint="eastAsia" w:ascii="仿宋" w:hAnsi="仿宋" w:eastAsia="仿宋" w:cs="仿宋"/>
          <w:b w:val="0"/>
          <w:bCs w:val="0"/>
          <w:color w:val="000000"/>
          <w:kern w:val="0"/>
          <w:sz w:val="32"/>
          <w:szCs w:val="32"/>
          <w:lang w:val="en-US" w:eastAsia="zh-CN"/>
        </w:rPr>
        <w:t>协办方应当对其向体育赛事活动提供的产品、服务、场地设施和设备等的质量和安全负责。</w:t>
      </w:r>
    </w:p>
    <w:p w14:paraId="1743604D">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第十六条  </w:t>
      </w:r>
      <w:r>
        <w:rPr>
          <w:rFonts w:hint="eastAsia" w:ascii="仿宋" w:hAnsi="仿宋" w:eastAsia="仿宋" w:cs="仿宋"/>
          <w:b w:val="0"/>
          <w:bCs w:val="0"/>
          <w:color w:val="000000"/>
          <w:kern w:val="0"/>
          <w:sz w:val="32"/>
          <w:szCs w:val="32"/>
          <w:lang w:val="en-US" w:eastAsia="zh-CN"/>
        </w:rPr>
        <w:t>主办方、承办方、协办方应当通过书面协议方式，对下列事项作出约定：</w:t>
      </w:r>
    </w:p>
    <w:p w14:paraId="55BC4406">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(一)体育赛事活动具体工作分工；</w:t>
      </w:r>
    </w:p>
    <w:p w14:paraId="26C09DEF">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(二)体育赛事活动安全责任；</w:t>
      </w:r>
    </w:p>
    <w:p w14:paraId="148FEA4C">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(三)体育赛事活动收益分配和风险分担；</w:t>
      </w:r>
    </w:p>
    <w:p w14:paraId="32FD5991">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(四)体育赛事活动转播权和标识、图片、视频等权益归属；</w:t>
      </w:r>
    </w:p>
    <w:p w14:paraId="1AD897DB">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(五)需要约定的其他事项。</w:t>
      </w:r>
    </w:p>
    <w:p w14:paraId="0EFB85F4">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第十七条  </w:t>
      </w:r>
      <w:r>
        <w:rPr>
          <w:rFonts w:hint="eastAsia" w:ascii="仿宋" w:hAnsi="仿宋" w:eastAsia="仿宋" w:cs="仿宋"/>
          <w:b w:val="0"/>
          <w:bCs w:val="0"/>
          <w:color w:val="000000"/>
          <w:kern w:val="0"/>
          <w:sz w:val="32"/>
          <w:szCs w:val="32"/>
          <w:lang w:val="en-US" w:eastAsia="zh-CN"/>
        </w:rPr>
        <w:t>举办体育赛事活动，主办方和承办方应当根据需要，做好下列保障工作：</w:t>
      </w:r>
    </w:p>
    <w:p w14:paraId="67BD2388">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（一）配备具有相应资格或者资质的专业技术人员；</w:t>
      </w:r>
    </w:p>
    <w:p w14:paraId="156FF9B0">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（二）配置符合相关标准和要求的场地、器材和设施；</w:t>
      </w:r>
    </w:p>
    <w:p w14:paraId="277CACA5">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（三）严格落实通信、医疗、卫生防疫、食品、交通、消防、安全保卫、应急救援、生态保护等相关措施；</w:t>
      </w:r>
    </w:p>
    <w:p w14:paraId="54907120">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（四）做好志愿者的招募、培训、保障和激励等工作；</w:t>
      </w:r>
    </w:p>
    <w:p w14:paraId="58CF33BD">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（五）体育赛事活动对参赛者身体条件有特殊要求的，主办方或承办方应当要求其提供符合体育赛事活动要求的身体状况证明，参赛者应当予以配合。</w:t>
      </w:r>
    </w:p>
    <w:p w14:paraId="53ACD571">
      <w:pPr>
        <w:keepNext w:val="0"/>
        <w:keepLines w:val="0"/>
        <w:pageBreakBefore w:val="0"/>
        <w:widowControl/>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第十八条  </w:t>
      </w:r>
      <w:r>
        <w:rPr>
          <w:rFonts w:hint="eastAsia" w:ascii="仿宋" w:hAnsi="仿宋" w:eastAsia="仿宋" w:cs="仿宋"/>
          <w:b w:val="0"/>
          <w:bCs w:val="0"/>
          <w:color w:val="000000"/>
          <w:kern w:val="0"/>
          <w:sz w:val="32"/>
          <w:szCs w:val="32"/>
          <w:lang w:val="en-US" w:eastAsia="zh-CN"/>
        </w:rPr>
        <w:t>鼓励和支持其他体育赛事活动主办方在体育赛事活动举办前，通过包括政府网站或主办方公众号等多种途径，向社会公布赛事活动规程，公开体育赛事活动的名称、时间、地点、主办方、承办方、协办方、参赛条件以及奖惩办法等基本信息。</w:t>
      </w:r>
    </w:p>
    <w:p w14:paraId="4AC616EF">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第十九条  </w:t>
      </w:r>
      <w:r>
        <w:rPr>
          <w:rFonts w:hint="eastAsia" w:ascii="仿宋" w:hAnsi="仿宋" w:eastAsia="仿宋" w:cs="仿宋"/>
          <w:b w:val="0"/>
          <w:bCs w:val="0"/>
          <w:color w:val="000000"/>
          <w:kern w:val="0"/>
          <w:sz w:val="32"/>
          <w:szCs w:val="32"/>
          <w:lang w:val="en-US" w:eastAsia="zh-CN"/>
        </w:rPr>
        <w:fldChar w:fldCharType="begin"/>
      </w:r>
      <w:r>
        <w:rPr>
          <w:rFonts w:hint="eastAsia" w:ascii="仿宋" w:hAnsi="仿宋" w:eastAsia="仿宋" w:cs="仿宋"/>
          <w:b w:val="0"/>
          <w:bCs w:val="0"/>
          <w:color w:val="000000"/>
          <w:kern w:val="0"/>
          <w:sz w:val="32"/>
          <w:szCs w:val="32"/>
          <w:lang w:val="en-US" w:eastAsia="zh-CN"/>
        </w:rPr>
        <w:instrText xml:space="preserve"> HYPERLINK "javascript:void(0);" </w:instrText>
      </w:r>
      <w:r>
        <w:rPr>
          <w:rFonts w:hint="eastAsia" w:ascii="仿宋" w:hAnsi="仿宋" w:eastAsia="仿宋" w:cs="仿宋"/>
          <w:b w:val="0"/>
          <w:bCs w:val="0"/>
          <w:color w:val="000000"/>
          <w:kern w:val="0"/>
          <w:sz w:val="32"/>
          <w:szCs w:val="32"/>
          <w:lang w:val="en-US" w:eastAsia="zh-CN"/>
        </w:rPr>
        <w:fldChar w:fldCharType="separate"/>
      </w:r>
      <w:r>
        <w:rPr>
          <w:rFonts w:hint="eastAsia" w:ascii="仿宋" w:hAnsi="仿宋" w:eastAsia="仿宋" w:cs="仿宋"/>
          <w:b w:val="0"/>
          <w:bCs w:val="0"/>
          <w:color w:val="000000"/>
          <w:kern w:val="0"/>
          <w:sz w:val="32"/>
          <w:szCs w:val="32"/>
          <w:lang w:val="en-US" w:eastAsia="zh-CN"/>
        </w:rPr>
        <w:fldChar w:fldCharType="end"/>
      </w:r>
      <w:r>
        <w:rPr>
          <w:rFonts w:hint="eastAsia" w:ascii="仿宋" w:hAnsi="仿宋" w:eastAsia="仿宋" w:cs="仿宋"/>
          <w:b w:val="0"/>
          <w:bCs w:val="0"/>
          <w:color w:val="000000"/>
          <w:kern w:val="0"/>
          <w:sz w:val="32"/>
          <w:szCs w:val="32"/>
          <w:lang w:val="en-US" w:eastAsia="zh-CN"/>
        </w:rPr>
        <w:t>主办方或者承办方应当加强体育赛事活动的票务管理，不得有捂票、参与炒作票价等行为。</w:t>
      </w:r>
      <w:r>
        <w:rPr>
          <w:rFonts w:hint="eastAsia" w:ascii="仿宋" w:hAnsi="仿宋" w:eastAsia="仿宋" w:cs="仿宋"/>
          <w:b w:val="0"/>
          <w:bCs w:val="0"/>
          <w:color w:val="000000"/>
          <w:kern w:val="0"/>
          <w:sz w:val="32"/>
          <w:szCs w:val="32"/>
          <w:lang w:val="en-US" w:eastAsia="zh-CN"/>
        </w:rPr>
        <w:fldChar w:fldCharType="begin"/>
      </w:r>
      <w:r>
        <w:rPr>
          <w:rFonts w:hint="eastAsia" w:ascii="仿宋" w:hAnsi="仿宋" w:eastAsia="仿宋" w:cs="仿宋"/>
          <w:b w:val="0"/>
          <w:bCs w:val="0"/>
          <w:color w:val="000000"/>
          <w:kern w:val="0"/>
          <w:sz w:val="32"/>
          <w:szCs w:val="32"/>
          <w:lang w:val="en-US" w:eastAsia="zh-CN"/>
        </w:rPr>
        <w:instrText xml:space="preserve"> HYPERLINK "javascript:void(0);" </w:instrText>
      </w:r>
      <w:r>
        <w:rPr>
          <w:rFonts w:hint="eastAsia" w:ascii="仿宋" w:hAnsi="仿宋" w:eastAsia="仿宋" w:cs="仿宋"/>
          <w:b w:val="0"/>
          <w:bCs w:val="0"/>
          <w:color w:val="000000"/>
          <w:kern w:val="0"/>
          <w:sz w:val="32"/>
          <w:szCs w:val="32"/>
          <w:lang w:val="en-US" w:eastAsia="zh-CN"/>
        </w:rPr>
        <w:fldChar w:fldCharType="separate"/>
      </w:r>
      <w:r>
        <w:rPr>
          <w:rFonts w:hint="eastAsia" w:ascii="仿宋" w:hAnsi="仿宋" w:eastAsia="仿宋" w:cs="仿宋"/>
          <w:b w:val="0"/>
          <w:bCs w:val="0"/>
          <w:color w:val="000000"/>
          <w:kern w:val="0"/>
          <w:sz w:val="32"/>
          <w:szCs w:val="32"/>
          <w:lang w:val="en-US" w:eastAsia="zh-CN"/>
        </w:rPr>
        <w:fldChar w:fldCharType="end"/>
      </w:r>
    </w:p>
    <w:p w14:paraId="0172864D">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鼓励主办方或者承办方根据体育赛事活动的实际情况向社会提供公益票。</w:t>
      </w:r>
    </w:p>
    <w:p w14:paraId="56D2E283">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第二十条  </w:t>
      </w:r>
      <w:r>
        <w:rPr>
          <w:rFonts w:hint="eastAsia" w:ascii="仿宋" w:hAnsi="仿宋" w:eastAsia="仿宋" w:cs="仿宋"/>
          <w:b w:val="0"/>
          <w:bCs w:val="0"/>
          <w:color w:val="000000"/>
          <w:kern w:val="0"/>
          <w:sz w:val="32"/>
          <w:szCs w:val="32"/>
          <w:lang w:val="en-US" w:eastAsia="zh-CN"/>
        </w:rPr>
        <w:t>因特殊原因确需变更时间、地点、内容、规模或者取消体育赛事活动的，主办方或者承办方应当及时发布公告；因变更或者取消体育赛事活动造成他人损失的，依法承担赔偿责任。</w:t>
      </w:r>
    </w:p>
    <w:p w14:paraId="3714D17D">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第二十一条  </w:t>
      </w:r>
      <w:r>
        <w:rPr>
          <w:rFonts w:hint="eastAsia" w:ascii="仿宋" w:hAnsi="仿宋" w:eastAsia="仿宋" w:cs="仿宋"/>
          <w:b w:val="0"/>
          <w:bCs w:val="0"/>
          <w:color w:val="000000"/>
          <w:kern w:val="0"/>
          <w:sz w:val="32"/>
          <w:szCs w:val="32"/>
          <w:lang w:val="en-US" w:eastAsia="zh-CN"/>
        </w:rPr>
        <w:t>主办方和承办方应当加强观赛环境管理，维护赛场秩序，引导现场观众文明观赛，防止阻碍体育赛事活动正常进行的行为发生。发现问题，应当及时采取制止行为、终止赛事活动等处置措施。</w:t>
      </w:r>
    </w:p>
    <w:p w14:paraId="52DF8DE8">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第二十二条  </w:t>
      </w:r>
      <w:r>
        <w:rPr>
          <w:rFonts w:hint="eastAsia" w:ascii="仿宋" w:hAnsi="仿宋" w:eastAsia="仿宋" w:cs="仿宋"/>
          <w:b w:val="0"/>
          <w:bCs w:val="0"/>
          <w:color w:val="000000"/>
          <w:kern w:val="0"/>
          <w:sz w:val="32"/>
          <w:szCs w:val="32"/>
          <w:lang w:val="en-US" w:eastAsia="zh-CN"/>
        </w:rPr>
        <w:t>参加本省行政区域内青少年竞技体育赛事活动，应当按照相关规定完成注册手续。</w:t>
      </w:r>
    </w:p>
    <w:p w14:paraId="489E1303">
      <w:pPr>
        <w:keepNext w:val="0"/>
        <w:keepLines w:val="0"/>
        <w:pageBreakBefore w:val="0"/>
        <w:widowControl/>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第二十三条  </w:t>
      </w:r>
      <w:r>
        <w:rPr>
          <w:rFonts w:hint="eastAsia" w:ascii="仿宋" w:hAnsi="仿宋" w:eastAsia="仿宋" w:cs="仿宋"/>
          <w:b w:val="0"/>
          <w:bCs w:val="0"/>
          <w:color w:val="000000"/>
          <w:kern w:val="0"/>
          <w:sz w:val="32"/>
          <w:szCs w:val="32"/>
          <w:lang w:val="en-US" w:eastAsia="zh-CN"/>
        </w:rPr>
        <w:t>高危险性体育赛事活动、每场次预计参加人数1000人以上的大型群众性体育赛事活动应当进行风险评估，鼓励其他具备条件的体育赛事活动进行风险评估。</w:t>
      </w:r>
    </w:p>
    <w:p w14:paraId="7A412FA8">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体育赛事活动的主办方承担风险评估主体责任，应当在赛事活动举办前通过委托评估或自主评估的方式开展风险评估，确定风险程度，划分风险等级。赛事活动举办期间，主办方应当对风险变化情况进行动态监测和实时评估，及时调整风险防控措施。</w:t>
      </w:r>
    </w:p>
    <w:p w14:paraId="511851BB">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第二十四条  </w:t>
      </w:r>
      <w:r>
        <w:rPr>
          <w:rFonts w:hint="eastAsia" w:ascii="仿宋" w:hAnsi="仿宋" w:eastAsia="仿宋" w:cs="仿宋"/>
          <w:b w:val="0"/>
          <w:bCs w:val="0"/>
          <w:color w:val="000000"/>
          <w:kern w:val="0"/>
          <w:sz w:val="32"/>
          <w:szCs w:val="32"/>
          <w:lang w:val="en-US" w:eastAsia="zh-CN"/>
        </w:rPr>
        <w:t>县级以上人民政府体育行政部门应当联合同级公安、交通运输、消防救援、卫生健康、通信等有关部门建立健全体育赛事活动应急工作机制，加强风险研判和隐患排查，开展综合性应急演练，提高服务保障水平。</w:t>
      </w:r>
    </w:p>
    <w:p w14:paraId="539C65FF">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lang w:val="en-US" w:eastAsia="zh-CN"/>
        </w:rPr>
        <w:t xml:space="preserve">第二十五条  </w:t>
      </w:r>
      <w:r>
        <w:rPr>
          <w:rFonts w:hint="eastAsia" w:ascii="仿宋" w:hAnsi="仿宋" w:eastAsia="仿宋" w:cs="仿宋"/>
          <w:color w:val="000000"/>
          <w:kern w:val="0"/>
          <w:sz w:val="32"/>
          <w:szCs w:val="32"/>
          <w:lang w:val="en-US" w:eastAsia="zh-CN"/>
        </w:rPr>
        <w:t>鼓励社会力量以投资、捐赠等方式支持举办体育赛事活动。</w:t>
      </w:r>
    </w:p>
    <w:p w14:paraId="0D0A26AC">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第二十六条  </w:t>
      </w:r>
      <w:r>
        <w:rPr>
          <w:rFonts w:hint="eastAsia" w:ascii="仿宋" w:hAnsi="仿宋" w:eastAsia="仿宋" w:cs="仿宋"/>
          <w:b w:val="0"/>
          <w:bCs w:val="0"/>
          <w:color w:val="000000"/>
          <w:kern w:val="0"/>
          <w:sz w:val="32"/>
          <w:szCs w:val="32"/>
          <w:lang w:val="en-US" w:eastAsia="zh-CN"/>
        </w:rPr>
        <w:t>体育赛事活动按照“谁审批、谁负责”和“谁主办、谁负责”的原则，加强体育赛事活动赛风赛纪管理与安全监管。</w:t>
      </w:r>
    </w:p>
    <w:p w14:paraId="0AC9E4C4">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跨区域联合举办的体育赛事活动实行属地管理，由赛事活动实际举办地的体育行政部门负责赛事活动的监督管理工作。</w:t>
      </w:r>
    </w:p>
    <w:p w14:paraId="4301A4EB">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第二十七条  </w:t>
      </w:r>
      <w:r>
        <w:rPr>
          <w:rFonts w:hint="eastAsia" w:ascii="仿宋" w:hAnsi="仿宋" w:eastAsia="仿宋" w:cs="仿宋"/>
          <w:color w:val="000000"/>
          <w:kern w:val="0"/>
          <w:sz w:val="32"/>
          <w:szCs w:val="32"/>
          <w:lang w:val="en-US" w:eastAsia="zh-CN"/>
        </w:rPr>
        <w:t>主办方和承办方应当加强赛风赛纪管理，加强对参赛运动员、教练员、裁判员以及相关工作人员的教育、管理和监督，及时查处赛风赛纪违规行为，并按照规定向体育行政部门和相关体育协会报告，确保体育赛事活动公平公正开展。</w:t>
      </w:r>
    </w:p>
    <w:p w14:paraId="11BDE2F7">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县级以上人民政府体育行政部门、体育协会应当建立相应工作机制，对赛事活动赛风赛纪实施综合督导检查。</w:t>
      </w:r>
    </w:p>
    <w:p w14:paraId="0BCDA7AA">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第二十八条  </w:t>
      </w:r>
      <w:r>
        <w:rPr>
          <w:rFonts w:hint="eastAsia" w:ascii="仿宋" w:hAnsi="仿宋" w:eastAsia="仿宋" w:cs="仿宋"/>
          <w:color w:val="000000"/>
          <w:kern w:val="0"/>
          <w:sz w:val="32"/>
          <w:szCs w:val="32"/>
          <w:lang w:val="en-US" w:eastAsia="zh-CN"/>
        </w:rPr>
        <w:t>主办方和承办方应当按照国家有关规定履行体育赛事活动反兴奋剂职责，配合体育行政部门和反兴奋剂组织开展宣传教育以及检查调查等工作。</w:t>
      </w:r>
    </w:p>
    <w:p w14:paraId="0F0F4C71">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第二十九条  </w:t>
      </w:r>
      <w:r>
        <w:rPr>
          <w:rFonts w:hint="eastAsia" w:ascii="仿宋" w:hAnsi="仿宋" w:eastAsia="仿宋" w:cs="仿宋"/>
          <w:b w:val="0"/>
          <w:bCs w:val="0"/>
          <w:color w:val="000000"/>
          <w:kern w:val="0"/>
          <w:sz w:val="32"/>
          <w:szCs w:val="32"/>
          <w:lang w:val="en-US" w:eastAsia="zh-CN"/>
        </w:rPr>
        <w:t>省体育行政部门应当推进符合体育行业特征的信用体系建设，加强本领域信用监管，建立健全体育经营主体、从业人员信用记录，将信用承诺履行情况纳入信用记录，开展信用评价和分级分类管理，对严重违法失信主体实行联合惩戒。</w:t>
      </w:r>
    </w:p>
    <w:p w14:paraId="57299A7D">
      <w:pPr>
        <w:keepNext w:val="0"/>
        <w:keepLines w:val="0"/>
        <w:pageBreakBefore w:val="0"/>
        <w:widowControl/>
        <w:kinsoku/>
        <w:wordWrap/>
        <w:overflowPunct/>
        <w:topLinePunct w:val="0"/>
        <w:autoSpaceDE/>
        <w:autoSpaceDN/>
        <w:bidi w:val="0"/>
        <w:adjustRightInd/>
        <w:snapToGrid/>
        <w:spacing w:line="360" w:lineRule="auto"/>
        <w:ind w:firstLine="643" w:firstLineChars="200"/>
        <w:jc w:val="left"/>
        <w:textAlignment w:val="auto"/>
        <w:rPr>
          <w:rFonts w:hint="default"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 xml:space="preserve">第三十条  </w:t>
      </w:r>
      <w:r>
        <w:rPr>
          <w:rFonts w:hint="eastAsia" w:ascii="仿宋" w:hAnsi="仿宋" w:eastAsia="仿宋" w:cs="仿宋"/>
          <w:color w:val="000000"/>
          <w:kern w:val="0"/>
          <w:sz w:val="32"/>
          <w:szCs w:val="32"/>
          <w:lang w:val="en-US" w:eastAsia="zh-CN"/>
        </w:rPr>
        <w:t>本办法自2026年8月5</w:t>
      </w:r>
      <w:bookmarkStart w:id="0" w:name="_GoBack"/>
      <w:bookmarkEnd w:id="0"/>
      <w:r>
        <w:rPr>
          <w:rFonts w:hint="eastAsia" w:ascii="仿宋" w:hAnsi="仿宋" w:eastAsia="仿宋" w:cs="仿宋"/>
          <w:color w:val="000000"/>
          <w:kern w:val="0"/>
          <w:sz w:val="32"/>
          <w:szCs w:val="32"/>
          <w:lang w:val="en-US" w:eastAsia="zh-CN"/>
        </w:rPr>
        <w:t>日起施行。《河北省体育竞赛管理办法》同时废止。</w:t>
      </w:r>
    </w:p>
    <w:p w14:paraId="783E0CB2">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default" w:ascii="仿宋" w:hAnsi="仿宋" w:eastAsia="仿宋" w:cs="仿宋"/>
          <w:color w:val="000000"/>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F54DC5"/>
    <w:rsid w:val="09476BEC"/>
    <w:rsid w:val="0CF54DC5"/>
    <w:rsid w:val="0D8458C4"/>
    <w:rsid w:val="0DA87805"/>
    <w:rsid w:val="102560F1"/>
    <w:rsid w:val="127708E9"/>
    <w:rsid w:val="127C4DBC"/>
    <w:rsid w:val="1461426A"/>
    <w:rsid w:val="15CA283D"/>
    <w:rsid w:val="168B7CC4"/>
    <w:rsid w:val="169339A2"/>
    <w:rsid w:val="241B5A4F"/>
    <w:rsid w:val="247578BD"/>
    <w:rsid w:val="26A60202"/>
    <w:rsid w:val="27AE20EB"/>
    <w:rsid w:val="2A2D713F"/>
    <w:rsid w:val="2C144DE1"/>
    <w:rsid w:val="2E99472E"/>
    <w:rsid w:val="30E81C16"/>
    <w:rsid w:val="33BC72B7"/>
    <w:rsid w:val="33FF1632"/>
    <w:rsid w:val="374730CF"/>
    <w:rsid w:val="38360444"/>
    <w:rsid w:val="38C20ECB"/>
    <w:rsid w:val="3A916DA7"/>
    <w:rsid w:val="3B27770B"/>
    <w:rsid w:val="3BC33324"/>
    <w:rsid w:val="3CCF1E09"/>
    <w:rsid w:val="3F56F3BC"/>
    <w:rsid w:val="3FF43860"/>
    <w:rsid w:val="414C7ECC"/>
    <w:rsid w:val="497F10D8"/>
    <w:rsid w:val="4C2732B3"/>
    <w:rsid w:val="4C54605E"/>
    <w:rsid w:val="4D61085B"/>
    <w:rsid w:val="4E1B1D42"/>
    <w:rsid w:val="4EC955F1"/>
    <w:rsid w:val="52902483"/>
    <w:rsid w:val="5376461F"/>
    <w:rsid w:val="55EC1538"/>
    <w:rsid w:val="57F86260"/>
    <w:rsid w:val="5841094A"/>
    <w:rsid w:val="588B0E82"/>
    <w:rsid w:val="59E73D0F"/>
    <w:rsid w:val="5A31736E"/>
    <w:rsid w:val="5B2A7B13"/>
    <w:rsid w:val="5B541A8E"/>
    <w:rsid w:val="5DD07337"/>
    <w:rsid w:val="5F5F4B0A"/>
    <w:rsid w:val="5F6ED03B"/>
    <w:rsid w:val="60FD48E7"/>
    <w:rsid w:val="68C301C4"/>
    <w:rsid w:val="6A7A48B2"/>
    <w:rsid w:val="6B1616E4"/>
    <w:rsid w:val="6CA043AA"/>
    <w:rsid w:val="6DBA89B8"/>
    <w:rsid w:val="6E732CC4"/>
    <w:rsid w:val="6EC47C37"/>
    <w:rsid w:val="6FBF74FB"/>
    <w:rsid w:val="70291255"/>
    <w:rsid w:val="7175362D"/>
    <w:rsid w:val="73027CD1"/>
    <w:rsid w:val="73644352"/>
    <w:rsid w:val="7525291E"/>
    <w:rsid w:val="759A0E5A"/>
    <w:rsid w:val="75EC56C1"/>
    <w:rsid w:val="7A807CC3"/>
    <w:rsid w:val="7B7B6D40"/>
    <w:rsid w:val="7BA8676E"/>
    <w:rsid w:val="7BF8013F"/>
    <w:rsid w:val="7C67749B"/>
    <w:rsid w:val="7C8F0691"/>
    <w:rsid w:val="7CCD740C"/>
    <w:rsid w:val="7CE7BB3E"/>
    <w:rsid w:val="7E397335"/>
    <w:rsid w:val="7E3FD658"/>
    <w:rsid w:val="7EFFA886"/>
    <w:rsid w:val="7F4A3DDE"/>
    <w:rsid w:val="7FBF9601"/>
    <w:rsid w:val="7FF76629"/>
    <w:rsid w:val="93FB5AA7"/>
    <w:rsid w:val="AFEF0A6D"/>
    <w:rsid w:val="B8BE1DA3"/>
    <w:rsid w:val="BA379272"/>
    <w:rsid w:val="C7BE7996"/>
    <w:rsid w:val="CF7F16C7"/>
    <w:rsid w:val="D7B78DAB"/>
    <w:rsid w:val="DD7C7127"/>
    <w:rsid w:val="DFBE2D4A"/>
    <w:rsid w:val="DFD79BE7"/>
    <w:rsid w:val="E7FECCE5"/>
    <w:rsid w:val="EEFDB65A"/>
    <w:rsid w:val="EF378382"/>
    <w:rsid w:val="F753D2AF"/>
    <w:rsid w:val="F96AED38"/>
    <w:rsid w:val="FB7EB313"/>
    <w:rsid w:val="FEF9E195"/>
    <w:rsid w:val="FF6FBECA"/>
    <w:rsid w:val="FFBF3DCF"/>
    <w:rsid w:val="FFEC0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lock Text"/>
    <w:basedOn w:val="1"/>
    <w:qFormat/>
    <w:uiPriority w:val="0"/>
    <w:pPr>
      <w:ind w:left="183" w:right="25" w:rightChars="12"/>
    </w:pPr>
    <w:rPr>
      <w:sz w:val="21"/>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3053</Words>
  <Characters>3056</Characters>
  <Lines>0</Lines>
  <Paragraphs>0</Paragraphs>
  <TotalTime>24</TotalTime>
  <ScaleCrop>false</ScaleCrop>
  <LinksUpToDate>false</LinksUpToDate>
  <CharactersWithSpaces>3124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2026-05-11T17:57:00Z</dcterms:created>
  <dc:creator>张张不脏脏</dc:creator>
  <cp:lastModifiedBy>刘阳</cp:lastModifiedBy>
  <dcterms:modified xsi:type="dcterms:W3CDTF">2026-08-10T09:24:37Z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B3E0D64D448FDDD91C82796A1D3D6F11_43</vt:lpwstr>
  </property>
  <property fmtid="{D5CDD505-2E9C-101B-9397-08002B2CF9AE}" pid="4" name="KSOTemplateDocerSaveRecord">
    <vt:lpwstr>eyJoZGlkIjoiM2I5MjA2NjE0YjBkZDZlMWU1ZTliYzhmMzQ4MTEyODAiLCJ1c2VySWQiOiIyNjUxMDQ2NzgifQ==</vt:lpwstr>
  </property>
</Properties>
</file>